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AE648" w14:textId="77777777" w:rsidR="002D351D" w:rsidRDefault="002D351D" w:rsidP="002D351D">
      <w:pPr>
        <w:pStyle w:val="Heading5"/>
        <w:spacing w:before="90"/>
        <w:ind w:left="927"/>
      </w:pPr>
      <w:bookmarkStart w:id="0" w:name="_TOC_250015"/>
      <w:r>
        <w:rPr>
          <w:color w:val="2E5395"/>
          <w:w w:val="105"/>
        </w:rPr>
        <w:t>APPENDIX</w:t>
      </w:r>
      <w:r>
        <w:rPr>
          <w:color w:val="2E5395"/>
          <w:spacing w:val="-9"/>
          <w:w w:val="105"/>
        </w:rPr>
        <w:t xml:space="preserve"> </w:t>
      </w:r>
      <w:r>
        <w:rPr>
          <w:color w:val="2E5395"/>
          <w:w w:val="105"/>
        </w:rPr>
        <w:t>25:</w:t>
      </w:r>
      <w:r>
        <w:rPr>
          <w:color w:val="2E5395"/>
          <w:spacing w:val="-10"/>
          <w:w w:val="105"/>
        </w:rPr>
        <w:t xml:space="preserve"> </w:t>
      </w:r>
      <w:r>
        <w:rPr>
          <w:color w:val="2E5395"/>
          <w:w w:val="105"/>
        </w:rPr>
        <w:t>BUC</w:t>
      </w:r>
      <w:r>
        <w:rPr>
          <w:color w:val="2E5395"/>
          <w:spacing w:val="-9"/>
          <w:w w:val="105"/>
        </w:rPr>
        <w:t xml:space="preserve"> </w:t>
      </w:r>
      <w:r>
        <w:rPr>
          <w:color w:val="2E5395"/>
          <w:w w:val="105"/>
        </w:rPr>
        <w:t>COMPLAINTS</w:t>
      </w:r>
      <w:r>
        <w:rPr>
          <w:color w:val="2E5395"/>
          <w:spacing w:val="-10"/>
          <w:w w:val="105"/>
        </w:rPr>
        <w:t xml:space="preserve"> </w:t>
      </w:r>
      <w:bookmarkEnd w:id="0"/>
      <w:r>
        <w:rPr>
          <w:color w:val="2E5395"/>
          <w:spacing w:val="-2"/>
          <w:w w:val="105"/>
        </w:rPr>
        <w:t>POLICY</w:t>
      </w:r>
    </w:p>
    <w:p w14:paraId="76912BB3" w14:textId="77777777" w:rsidR="002D351D" w:rsidRDefault="002D351D" w:rsidP="002D351D">
      <w:pPr>
        <w:pStyle w:val="BodyText"/>
        <w:spacing w:before="75"/>
        <w:rPr>
          <w:rFonts w:ascii="Trebuchet MS"/>
          <w:b/>
          <w:sz w:val="24"/>
        </w:rPr>
      </w:pPr>
    </w:p>
    <w:p w14:paraId="3A46602C" w14:textId="77777777" w:rsidR="002D351D" w:rsidRDefault="002D351D" w:rsidP="002D351D">
      <w:pPr>
        <w:pStyle w:val="Heading8"/>
        <w:numPr>
          <w:ilvl w:val="0"/>
          <w:numId w:val="1"/>
        </w:numPr>
        <w:tabs>
          <w:tab w:val="left" w:pos="1151"/>
        </w:tabs>
        <w:ind w:left="1151" w:hanging="224"/>
        <w:jc w:val="left"/>
      </w:pPr>
      <w:r>
        <w:rPr>
          <w:spacing w:val="-2"/>
          <w:w w:val="105"/>
        </w:rPr>
        <w:t>INTRODUCTION</w:t>
      </w:r>
    </w:p>
    <w:p w14:paraId="38E4526C" w14:textId="77777777" w:rsidR="002D351D" w:rsidRDefault="002D351D" w:rsidP="002D351D">
      <w:pPr>
        <w:pStyle w:val="BodyText"/>
        <w:spacing w:before="121"/>
        <w:ind w:left="1575" w:right="922"/>
        <w:jc w:val="both"/>
      </w:pPr>
      <w:r>
        <w:t>Disputes and conflicts are inevitable in any large organisation and it is important to have a procedure for dealing with them. From the outset a clear distinction must be made between general complaints and employment related complaints. General complaints are dealt with according to the procedure outlined below, whereas complaints by an employee relating to their own employment are dealt with according to the grievance procedure in the employee's Employee Handbook.</w:t>
      </w:r>
    </w:p>
    <w:p w14:paraId="2A3ADC4B" w14:textId="77777777" w:rsidR="002D351D" w:rsidRDefault="002D351D" w:rsidP="002D351D">
      <w:pPr>
        <w:pStyle w:val="BodyText"/>
        <w:spacing w:before="187"/>
      </w:pPr>
    </w:p>
    <w:p w14:paraId="2F21E1AB" w14:textId="77777777" w:rsidR="002D351D" w:rsidRDefault="002D351D" w:rsidP="002D351D">
      <w:pPr>
        <w:pStyle w:val="Heading8"/>
        <w:numPr>
          <w:ilvl w:val="0"/>
          <w:numId w:val="1"/>
        </w:numPr>
        <w:tabs>
          <w:tab w:val="left" w:pos="1140"/>
        </w:tabs>
        <w:ind w:left="1140" w:hanging="213"/>
        <w:jc w:val="left"/>
      </w:pPr>
      <w:r>
        <w:rPr>
          <w:spacing w:val="-2"/>
          <w:w w:val="105"/>
        </w:rPr>
        <w:t>JURISDICTION</w:t>
      </w:r>
    </w:p>
    <w:p w14:paraId="41DB2E58" w14:textId="77777777" w:rsidR="002D351D" w:rsidRDefault="002D351D" w:rsidP="002D351D">
      <w:pPr>
        <w:pStyle w:val="BodyText"/>
        <w:spacing w:before="135"/>
        <w:ind w:left="1575" w:right="921"/>
        <w:jc w:val="both"/>
      </w:pPr>
      <w:r>
        <w:t>Complaints should be dealt with at the level where they arise, recognising the different levels of church organisation.</w:t>
      </w:r>
      <w:r>
        <w:rPr>
          <w:spacing w:val="-10"/>
        </w:rPr>
        <w:t xml:space="preserve"> </w:t>
      </w:r>
      <w:r>
        <w:t>These</w:t>
      </w:r>
      <w:r>
        <w:rPr>
          <w:spacing w:val="-10"/>
        </w:rPr>
        <w:t xml:space="preserve"> </w:t>
      </w:r>
      <w:r>
        <w:t>are:</w:t>
      </w:r>
      <w:r>
        <w:rPr>
          <w:spacing w:val="-10"/>
        </w:rPr>
        <w:t xml:space="preserve"> </w:t>
      </w:r>
      <w:r>
        <w:t>Local</w:t>
      </w:r>
      <w:r>
        <w:rPr>
          <w:spacing w:val="-8"/>
        </w:rPr>
        <w:t xml:space="preserve"> </w:t>
      </w:r>
      <w:r>
        <w:t>Church,</w:t>
      </w:r>
      <w:r>
        <w:rPr>
          <w:spacing w:val="-10"/>
        </w:rPr>
        <w:t xml:space="preserve"> </w:t>
      </w:r>
      <w:r>
        <w:t>Mission</w:t>
      </w:r>
      <w:r>
        <w:rPr>
          <w:spacing w:val="-10"/>
        </w:rPr>
        <w:t xml:space="preserve"> </w:t>
      </w:r>
      <w:r>
        <w:t>or</w:t>
      </w:r>
      <w:r>
        <w:rPr>
          <w:spacing w:val="-10"/>
        </w:rPr>
        <w:t xml:space="preserve"> </w:t>
      </w:r>
      <w:r>
        <w:t>Conference,</w:t>
      </w:r>
      <w:r>
        <w:rPr>
          <w:spacing w:val="-8"/>
        </w:rPr>
        <w:t xml:space="preserve"> </w:t>
      </w:r>
      <w:r>
        <w:t>Union</w:t>
      </w:r>
      <w:r>
        <w:rPr>
          <w:spacing w:val="-10"/>
        </w:rPr>
        <w:t xml:space="preserve"> </w:t>
      </w:r>
      <w:r>
        <w:t>Conference,</w:t>
      </w:r>
      <w:r>
        <w:rPr>
          <w:spacing w:val="-10"/>
        </w:rPr>
        <w:t xml:space="preserve"> </w:t>
      </w:r>
      <w:r>
        <w:t>and</w:t>
      </w:r>
      <w:r>
        <w:rPr>
          <w:spacing w:val="-10"/>
        </w:rPr>
        <w:t xml:space="preserve"> </w:t>
      </w:r>
      <w:r>
        <w:t>Division</w:t>
      </w:r>
      <w:r>
        <w:rPr>
          <w:spacing w:val="-10"/>
        </w:rPr>
        <w:t xml:space="preserve"> </w:t>
      </w:r>
      <w:r>
        <w:t>of</w:t>
      </w:r>
      <w:r>
        <w:rPr>
          <w:spacing w:val="-8"/>
        </w:rPr>
        <w:t xml:space="preserve"> </w:t>
      </w:r>
      <w:r>
        <w:t>the</w:t>
      </w:r>
      <w:r>
        <w:rPr>
          <w:spacing w:val="-10"/>
        </w:rPr>
        <w:t xml:space="preserve"> </w:t>
      </w:r>
      <w:r>
        <w:t xml:space="preserve">General </w:t>
      </w:r>
      <w:r>
        <w:rPr>
          <w:spacing w:val="-2"/>
        </w:rPr>
        <w:t>Conference.</w:t>
      </w:r>
    </w:p>
    <w:p w14:paraId="108DBBEA" w14:textId="77777777" w:rsidR="002D351D" w:rsidRDefault="002D351D" w:rsidP="002D351D">
      <w:pPr>
        <w:pStyle w:val="BodyText"/>
        <w:spacing w:before="192"/>
      </w:pPr>
    </w:p>
    <w:p w14:paraId="286EC099" w14:textId="77777777" w:rsidR="002D351D" w:rsidRDefault="002D351D" w:rsidP="002D351D">
      <w:pPr>
        <w:pStyle w:val="Heading8"/>
        <w:numPr>
          <w:ilvl w:val="0"/>
          <w:numId w:val="1"/>
        </w:numPr>
        <w:tabs>
          <w:tab w:val="left" w:pos="1137"/>
        </w:tabs>
        <w:ind w:left="1137" w:hanging="210"/>
        <w:jc w:val="left"/>
      </w:pPr>
      <w:r>
        <w:rPr>
          <w:spacing w:val="-2"/>
          <w:w w:val="105"/>
        </w:rPr>
        <w:t>PROCESS</w:t>
      </w:r>
    </w:p>
    <w:p w14:paraId="3BDF7716" w14:textId="77777777" w:rsidR="002D351D" w:rsidRDefault="002D351D" w:rsidP="002D351D">
      <w:pPr>
        <w:pStyle w:val="BodyText"/>
        <w:spacing w:before="130"/>
        <w:ind w:left="1575" w:right="926"/>
        <w:jc w:val="both"/>
      </w:pPr>
      <w:r>
        <w:t>Complaints should be dealt with informally in the first instance, following the counsel given in the Church Manual. If this fails to resolve the situation then the following formal process should be followed:</w:t>
      </w:r>
    </w:p>
    <w:p w14:paraId="06E8681A" w14:textId="77777777" w:rsidR="002D351D" w:rsidRDefault="002D351D" w:rsidP="002D351D">
      <w:pPr>
        <w:pStyle w:val="ListParagraph"/>
        <w:numPr>
          <w:ilvl w:val="1"/>
          <w:numId w:val="1"/>
        </w:numPr>
        <w:tabs>
          <w:tab w:val="left" w:pos="2079"/>
        </w:tabs>
        <w:spacing w:before="122"/>
        <w:ind w:right="918"/>
        <w:jc w:val="both"/>
        <w:rPr>
          <w:sz w:val="18"/>
        </w:rPr>
      </w:pPr>
      <w:r>
        <w:rPr>
          <w:sz w:val="18"/>
        </w:rPr>
        <w:t>The complaint should be submitted in writing to the appropriate responsible person. This could be the pastor in the case of a local church, or the Executive Secretary in the case of a Conference or Union. The letter should state clearly that the complainant is making a formal complaint. Sufficient detail should be included to allow at least a preliminary investigation to be carried out. This might include a timeline of events, relevant correspondence, and other backing materials.</w:t>
      </w:r>
    </w:p>
    <w:p w14:paraId="1CEE7082" w14:textId="77777777" w:rsidR="002D351D" w:rsidRDefault="002D351D" w:rsidP="002D351D">
      <w:pPr>
        <w:pStyle w:val="ListParagraph"/>
        <w:numPr>
          <w:ilvl w:val="1"/>
          <w:numId w:val="1"/>
        </w:numPr>
        <w:tabs>
          <w:tab w:val="left" w:pos="2079"/>
        </w:tabs>
        <w:spacing w:before="122"/>
        <w:ind w:right="923"/>
        <w:jc w:val="both"/>
        <w:rPr>
          <w:sz w:val="18"/>
        </w:rPr>
      </w:pPr>
      <w:r>
        <w:rPr>
          <w:sz w:val="18"/>
        </w:rPr>
        <w:t>The responsible person should respond in writing within a reasonable time period, acknowledging the complaint and outlining what action, if any, will be taken. They may ask for more information or for additional measures to be taken by the complainant. If no action is to be taken, a reasonable explanation should be given.</w:t>
      </w:r>
    </w:p>
    <w:p w14:paraId="025EF483" w14:textId="77777777" w:rsidR="002D351D" w:rsidRDefault="002D351D" w:rsidP="002D351D">
      <w:pPr>
        <w:pStyle w:val="ListParagraph"/>
        <w:numPr>
          <w:ilvl w:val="1"/>
          <w:numId w:val="1"/>
        </w:numPr>
        <w:tabs>
          <w:tab w:val="left" w:pos="2079"/>
        </w:tabs>
        <w:spacing w:before="123"/>
        <w:ind w:right="926"/>
        <w:jc w:val="both"/>
        <w:rPr>
          <w:sz w:val="18"/>
        </w:rPr>
      </w:pPr>
      <w:r>
        <w:rPr>
          <w:sz w:val="18"/>
        </w:rPr>
        <w:t>When the matter has been adequately considered the responsible person will communicate the outcome to the complainant.</w:t>
      </w:r>
    </w:p>
    <w:p w14:paraId="0FD6EB6F" w14:textId="77777777" w:rsidR="002D351D" w:rsidRDefault="002D351D" w:rsidP="002D351D">
      <w:pPr>
        <w:pStyle w:val="BodyText"/>
        <w:spacing w:before="190"/>
      </w:pPr>
    </w:p>
    <w:p w14:paraId="4312AA63" w14:textId="77777777" w:rsidR="002D351D" w:rsidRDefault="002D351D" w:rsidP="002D351D">
      <w:pPr>
        <w:pStyle w:val="Heading8"/>
        <w:numPr>
          <w:ilvl w:val="0"/>
          <w:numId w:val="1"/>
        </w:numPr>
        <w:tabs>
          <w:tab w:val="left" w:pos="1156"/>
        </w:tabs>
        <w:ind w:left="1156" w:hanging="229"/>
        <w:jc w:val="left"/>
      </w:pPr>
      <w:r>
        <w:rPr>
          <w:w w:val="105"/>
        </w:rPr>
        <w:t>RIGHT</w:t>
      </w:r>
      <w:r>
        <w:rPr>
          <w:spacing w:val="-14"/>
          <w:w w:val="105"/>
        </w:rPr>
        <w:t xml:space="preserve"> </w:t>
      </w:r>
      <w:r>
        <w:rPr>
          <w:w w:val="105"/>
        </w:rPr>
        <w:t>OF</w:t>
      </w:r>
      <w:r>
        <w:rPr>
          <w:spacing w:val="-13"/>
          <w:w w:val="105"/>
        </w:rPr>
        <w:t xml:space="preserve"> </w:t>
      </w:r>
      <w:r>
        <w:rPr>
          <w:spacing w:val="-2"/>
          <w:w w:val="105"/>
        </w:rPr>
        <w:t>APPEAL</w:t>
      </w:r>
    </w:p>
    <w:p w14:paraId="3E1F7720" w14:textId="77777777" w:rsidR="002D351D" w:rsidRDefault="002D351D" w:rsidP="002D351D">
      <w:pPr>
        <w:pStyle w:val="BodyText"/>
        <w:spacing w:before="136"/>
        <w:ind w:left="1575" w:right="923"/>
        <w:jc w:val="both"/>
      </w:pPr>
      <w:r>
        <w:t>If the complainant is not satisfied with the response they receive, they have the right to appeal to the next level of church organisation. However, this right extends only to the way in which their original complaint has been dealt with, not the substance of the complaint itself. The process is as follows:</w:t>
      </w:r>
    </w:p>
    <w:p w14:paraId="5829D453" w14:textId="77777777" w:rsidR="002D351D" w:rsidRDefault="002D351D" w:rsidP="002D351D">
      <w:pPr>
        <w:pStyle w:val="ListParagraph"/>
        <w:numPr>
          <w:ilvl w:val="1"/>
          <w:numId w:val="1"/>
        </w:numPr>
        <w:tabs>
          <w:tab w:val="left" w:pos="2079"/>
        </w:tabs>
        <w:spacing w:before="122"/>
        <w:ind w:right="918"/>
        <w:jc w:val="both"/>
        <w:rPr>
          <w:sz w:val="18"/>
        </w:rPr>
      </w:pPr>
      <w:r>
        <w:rPr>
          <w:sz w:val="18"/>
        </w:rPr>
        <w:t>The</w:t>
      </w:r>
      <w:r>
        <w:rPr>
          <w:spacing w:val="-12"/>
          <w:sz w:val="18"/>
        </w:rPr>
        <w:t xml:space="preserve"> </w:t>
      </w:r>
      <w:r>
        <w:rPr>
          <w:sz w:val="18"/>
        </w:rPr>
        <w:t>appeal</w:t>
      </w:r>
      <w:r>
        <w:rPr>
          <w:spacing w:val="-12"/>
          <w:sz w:val="18"/>
        </w:rPr>
        <w:t xml:space="preserve"> </w:t>
      </w:r>
      <w:r>
        <w:rPr>
          <w:sz w:val="18"/>
        </w:rPr>
        <w:t>should</w:t>
      </w:r>
      <w:r>
        <w:rPr>
          <w:spacing w:val="-12"/>
          <w:sz w:val="18"/>
        </w:rPr>
        <w:t xml:space="preserve"> </w:t>
      </w:r>
      <w:r>
        <w:rPr>
          <w:sz w:val="18"/>
        </w:rPr>
        <w:t>be</w:t>
      </w:r>
      <w:r>
        <w:rPr>
          <w:spacing w:val="-13"/>
          <w:sz w:val="18"/>
        </w:rPr>
        <w:t xml:space="preserve"> </w:t>
      </w:r>
      <w:r>
        <w:rPr>
          <w:sz w:val="18"/>
        </w:rPr>
        <w:t>submitted</w:t>
      </w:r>
      <w:r>
        <w:rPr>
          <w:spacing w:val="-11"/>
          <w:sz w:val="18"/>
        </w:rPr>
        <w:t xml:space="preserve"> </w:t>
      </w:r>
      <w:r>
        <w:rPr>
          <w:sz w:val="18"/>
        </w:rPr>
        <w:t>in</w:t>
      </w:r>
      <w:r>
        <w:rPr>
          <w:spacing w:val="-13"/>
          <w:sz w:val="18"/>
        </w:rPr>
        <w:t xml:space="preserve"> </w:t>
      </w:r>
      <w:r>
        <w:rPr>
          <w:sz w:val="18"/>
        </w:rPr>
        <w:t>writing</w:t>
      </w:r>
      <w:r>
        <w:rPr>
          <w:spacing w:val="-11"/>
          <w:sz w:val="18"/>
        </w:rPr>
        <w:t xml:space="preserve"> </w:t>
      </w:r>
      <w:r>
        <w:rPr>
          <w:sz w:val="18"/>
        </w:rPr>
        <w:t>to</w:t>
      </w:r>
      <w:r>
        <w:rPr>
          <w:spacing w:val="-12"/>
          <w:sz w:val="18"/>
        </w:rPr>
        <w:t xml:space="preserve"> </w:t>
      </w:r>
      <w:r>
        <w:rPr>
          <w:sz w:val="18"/>
        </w:rPr>
        <w:t>the</w:t>
      </w:r>
      <w:r>
        <w:rPr>
          <w:spacing w:val="-12"/>
          <w:sz w:val="18"/>
        </w:rPr>
        <w:t xml:space="preserve"> </w:t>
      </w:r>
      <w:r>
        <w:rPr>
          <w:sz w:val="18"/>
        </w:rPr>
        <w:t>Executive</w:t>
      </w:r>
      <w:r>
        <w:rPr>
          <w:spacing w:val="-12"/>
          <w:sz w:val="18"/>
        </w:rPr>
        <w:t xml:space="preserve"> </w:t>
      </w:r>
      <w:r>
        <w:rPr>
          <w:sz w:val="18"/>
        </w:rPr>
        <w:t>Secretary</w:t>
      </w:r>
      <w:r>
        <w:rPr>
          <w:spacing w:val="-13"/>
          <w:sz w:val="18"/>
        </w:rPr>
        <w:t xml:space="preserve"> </w:t>
      </w:r>
      <w:r>
        <w:rPr>
          <w:sz w:val="18"/>
        </w:rPr>
        <w:t>and</w:t>
      </w:r>
      <w:r>
        <w:rPr>
          <w:spacing w:val="-11"/>
          <w:sz w:val="18"/>
        </w:rPr>
        <w:t xml:space="preserve"> </w:t>
      </w:r>
      <w:r>
        <w:rPr>
          <w:sz w:val="18"/>
        </w:rPr>
        <w:t>the</w:t>
      </w:r>
      <w:r>
        <w:rPr>
          <w:spacing w:val="-12"/>
          <w:sz w:val="18"/>
        </w:rPr>
        <w:t xml:space="preserve"> </w:t>
      </w:r>
      <w:r>
        <w:rPr>
          <w:sz w:val="18"/>
        </w:rPr>
        <w:t>letter</w:t>
      </w:r>
      <w:r>
        <w:rPr>
          <w:spacing w:val="-12"/>
          <w:sz w:val="18"/>
        </w:rPr>
        <w:t xml:space="preserve"> </w:t>
      </w:r>
      <w:r>
        <w:rPr>
          <w:sz w:val="18"/>
        </w:rPr>
        <w:t>should</w:t>
      </w:r>
      <w:r>
        <w:rPr>
          <w:spacing w:val="-12"/>
          <w:sz w:val="18"/>
        </w:rPr>
        <w:t xml:space="preserve"> </w:t>
      </w:r>
      <w:r>
        <w:rPr>
          <w:sz w:val="18"/>
        </w:rPr>
        <w:t>state</w:t>
      </w:r>
      <w:r>
        <w:rPr>
          <w:spacing w:val="-12"/>
          <w:sz w:val="18"/>
        </w:rPr>
        <w:t xml:space="preserve"> </w:t>
      </w:r>
      <w:r>
        <w:rPr>
          <w:sz w:val="18"/>
        </w:rPr>
        <w:t>clearly that the individual is exercising their right of appeal. Sufficient detail should be included to indicate how the original complaint process was inadequate.</w:t>
      </w:r>
    </w:p>
    <w:p w14:paraId="57C35BDA" w14:textId="77777777" w:rsidR="002D351D" w:rsidRDefault="002D351D" w:rsidP="002D351D">
      <w:pPr>
        <w:pStyle w:val="ListParagraph"/>
        <w:numPr>
          <w:ilvl w:val="1"/>
          <w:numId w:val="1"/>
        </w:numPr>
        <w:tabs>
          <w:tab w:val="left" w:pos="2079"/>
        </w:tabs>
        <w:spacing w:before="121"/>
        <w:ind w:right="922"/>
        <w:jc w:val="both"/>
        <w:rPr>
          <w:sz w:val="18"/>
        </w:rPr>
      </w:pPr>
      <w:r>
        <w:rPr>
          <w:sz w:val="18"/>
        </w:rPr>
        <w:t>The Executive Secretary should respond in writing within a reasonable time period, acknowledging the</w:t>
      </w:r>
      <w:r>
        <w:rPr>
          <w:spacing w:val="-13"/>
          <w:sz w:val="18"/>
        </w:rPr>
        <w:t xml:space="preserve"> </w:t>
      </w:r>
      <w:r>
        <w:rPr>
          <w:sz w:val="18"/>
        </w:rPr>
        <w:t>appeal</w:t>
      </w:r>
      <w:r>
        <w:rPr>
          <w:spacing w:val="-12"/>
          <w:sz w:val="18"/>
        </w:rPr>
        <w:t xml:space="preserve"> </w:t>
      </w:r>
      <w:r>
        <w:rPr>
          <w:sz w:val="18"/>
        </w:rPr>
        <w:t>and</w:t>
      </w:r>
      <w:r>
        <w:rPr>
          <w:spacing w:val="-12"/>
          <w:sz w:val="18"/>
        </w:rPr>
        <w:t xml:space="preserve"> </w:t>
      </w:r>
      <w:r>
        <w:rPr>
          <w:sz w:val="18"/>
        </w:rPr>
        <w:t>outlining</w:t>
      </w:r>
      <w:r>
        <w:rPr>
          <w:spacing w:val="-13"/>
          <w:sz w:val="18"/>
        </w:rPr>
        <w:t xml:space="preserve"> </w:t>
      </w:r>
      <w:r>
        <w:rPr>
          <w:sz w:val="18"/>
        </w:rPr>
        <w:t>what</w:t>
      </w:r>
      <w:r>
        <w:rPr>
          <w:spacing w:val="-11"/>
          <w:sz w:val="18"/>
        </w:rPr>
        <w:t xml:space="preserve"> </w:t>
      </w:r>
      <w:r>
        <w:rPr>
          <w:sz w:val="18"/>
        </w:rPr>
        <w:t>action</w:t>
      </w:r>
      <w:r>
        <w:rPr>
          <w:spacing w:val="-13"/>
          <w:sz w:val="18"/>
        </w:rPr>
        <w:t xml:space="preserve"> </w:t>
      </w:r>
      <w:r>
        <w:rPr>
          <w:sz w:val="18"/>
        </w:rPr>
        <w:t>will</w:t>
      </w:r>
      <w:r>
        <w:rPr>
          <w:spacing w:val="-12"/>
          <w:sz w:val="18"/>
        </w:rPr>
        <w:t xml:space="preserve"> </w:t>
      </w:r>
      <w:r>
        <w:rPr>
          <w:sz w:val="18"/>
        </w:rPr>
        <w:t>be</w:t>
      </w:r>
      <w:r>
        <w:rPr>
          <w:spacing w:val="-12"/>
          <w:sz w:val="18"/>
        </w:rPr>
        <w:t xml:space="preserve"> </w:t>
      </w:r>
      <w:r>
        <w:rPr>
          <w:sz w:val="18"/>
        </w:rPr>
        <w:t>taken.</w:t>
      </w:r>
      <w:r>
        <w:rPr>
          <w:spacing w:val="-13"/>
          <w:sz w:val="18"/>
        </w:rPr>
        <w:t xml:space="preserve"> </w:t>
      </w:r>
      <w:r>
        <w:rPr>
          <w:sz w:val="18"/>
        </w:rPr>
        <w:t>This</w:t>
      </w:r>
      <w:r>
        <w:rPr>
          <w:spacing w:val="-11"/>
          <w:sz w:val="18"/>
        </w:rPr>
        <w:t xml:space="preserve"> </w:t>
      </w:r>
      <w:r>
        <w:rPr>
          <w:sz w:val="18"/>
        </w:rPr>
        <w:t>action</w:t>
      </w:r>
      <w:r>
        <w:rPr>
          <w:spacing w:val="-11"/>
          <w:sz w:val="18"/>
        </w:rPr>
        <w:t xml:space="preserve"> </w:t>
      </w:r>
      <w:r>
        <w:rPr>
          <w:sz w:val="18"/>
        </w:rPr>
        <w:t>will</w:t>
      </w:r>
      <w:r>
        <w:rPr>
          <w:spacing w:val="-13"/>
          <w:sz w:val="18"/>
        </w:rPr>
        <w:t xml:space="preserve"> </w:t>
      </w:r>
      <w:r>
        <w:rPr>
          <w:sz w:val="18"/>
        </w:rPr>
        <w:t>depend</w:t>
      </w:r>
      <w:r>
        <w:rPr>
          <w:spacing w:val="-12"/>
          <w:sz w:val="18"/>
        </w:rPr>
        <w:t xml:space="preserve"> </w:t>
      </w:r>
      <w:r>
        <w:rPr>
          <w:sz w:val="18"/>
        </w:rPr>
        <w:t>on</w:t>
      </w:r>
      <w:r>
        <w:rPr>
          <w:spacing w:val="-11"/>
          <w:sz w:val="18"/>
        </w:rPr>
        <w:t xml:space="preserve"> </w:t>
      </w:r>
      <w:r>
        <w:rPr>
          <w:sz w:val="18"/>
        </w:rPr>
        <w:t>the</w:t>
      </w:r>
      <w:r>
        <w:rPr>
          <w:spacing w:val="-10"/>
          <w:sz w:val="18"/>
        </w:rPr>
        <w:t xml:space="preserve"> </w:t>
      </w:r>
      <w:r>
        <w:rPr>
          <w:sz w:val="18"/>
        </w:rPr>
        <w:t>nature</w:t>
      </w:r>
      <w:r>
        <w:rPr>
          <w:spacing w:val="-13"/>
          <w:sz w:val="18"/>
        </w:rPr>
        <w:t xml:space="preserve"> </w:t>
      </w:r>
      <w:r>
        <w:rPr>
          <w:sz w:val="18"/>
        </w:rPr>
        <w:t>of</w:t>
      </w:r>
      <w:r>
        <w:rPr>
          <w:spacing w:val="-10"/>
          <w:sz w:val="18"/>
        </w:rPr>
        <w:t xml:space="preserve"> </w:t>
      </w:r>
      <w:r>
        <w:rPr>
          <w:sz w:val="18"/>
        </w:rPr>
        <w:t>the</w:t>
      </w:r>
      <w:r>
        <w:rPr>
          <w:spacing w:val="-13"/>
          <w:sz w:val="18"/>
        </w:rPr>
        <w:t xml:space="preserve"> </w:t>
      </w:r>
      <w:r>
        <w:rPr>
          <w:sz w:val="18"/>
        </w:rPr>
        <w:t>original complaint but may include assigning an individual or small group to manage the process.</w:t>
      </w:r>
    </w:p>
    <w:p w14:paraId="7CA7A304" w14:textId="77777777" w:rsidR="002D351D" w:rsidRDefault="002D351D" w:rsidP="002D351D">
      <w:pPr>
        <w:pStyle w:val="ListParagraph"/>
        <w:numPr>
          <w:ilvl w:val="1"/>
          <w:numId w:val="1"/>
        </w:numPr>
        <w:tabs>
          <w:tab w:val="left" w:pos="2079"/>
        </w:tabs>
        <w:spacing w:before="123"/>
        <w:ind w:right="921"/>
        <w:jc w:val="both"/>
        <w:rPr>
          <w:sz w:val="18"/>
        </w:rPr>
      </w:pPr>
      <w:r>
        <w:rPr>
          <w:sz w:val="18"/>
        </w:rPr>
        <w:t>When the matter has been adequately considered the Executive Secretary will communicate the outcome to the appellant.</w:t>
      </w:r>
    </w:p>
    <w:p w14:paraId="4625D513" w14:textId="77777777" w:rsidR="002D351D" w:rsidRDefault="002D351D" w:rsidP="002D351D">
      <w:pPr>
        <w:jc w:val="both"/>
        <w:rPr>
          <w:sz w:val="18"/>
        </w:rPr>
        <w:sectPr w:rsidR="002D351D" w:rsidSect="00110F8D">
          <w:footerReference w:type="default" r:id="rId5"/>
          <w:pgSz w:w="11910" w:h="16840"/>
          <w:pgMar w:top="1500" w:right="460" w:bottom="1500" w:left="460" w:header="0" w:footer="1309" w:gutter="0"/>
          <w:cols w:space="720"/>
        </w:sectPr>
      </w:pPr>
    </w:p>
    <w:p w14:paraId="346C2739" w14:textId="77777777" w:rsidR="002D351D" w:rsidRDefault="002D351D" w:rsidP="002D351D">
      <w:pPr>
        <w:pStyle w:val="Heading8"/>
        <w:numPr>
          <w:ilvl w:val="0"/>
          <w:numId w:val="1"/>
        </w:numPr>
        <w:tabs>
          <w:tab w:val="left" w:pos="1393"/>
        </w:tabs>
        <w:spacing w:before="80"/>
        <w:ind w:left="1393" w:hanging="576"/>
        <w:jc w:val="left"/>
      </w:pPr>
      <w:r>
        <w:rPr>
          <w:spacing w:val="-2"/>
          <w:w w:val="105"/>
        </w:rPr>
        <w:lastRenderedPageBreak/>
        <w:t>ARBITRATION</w:t>
      </w:r>
    </w:p>
    <w:p w14:paraId="34299012" w14:textId="77777777" w:rsidR="002D351D" w:rsidRDefault="002D351D" w:rsidP="002D351D">
      <w:pPr>
        <w:pStyle w:val="BodyText"/>
        <w:spacing w:before="135"/>
        <w:ind w:left="1465" w:right="974"/>
        <w:jc w:val="both"/>
      </w:pPr>
      <w:r>
        <w:t>There</w:t>
      </w:r>
      <w:r>
        <w:rPr>
          <w:spacing w:val="-4"/>
        </w:rPr>
        <w:t xml:space="preserve"> </w:t>
      </w:r>
      <w:r>
        <w:t>may</w:t>
      </w:r>
      <w:r>
        <w:rPr>
          <w:spacing w:val="-5"/>
        </w:rPr>
        <w:t xml:space="preserve"> </w:t>
      </w:r>
      <w:r>
        <w:t>be</w:t>
      </w:r>
      <w:r>
        <w:rPr>
          <w:spacing w:val="-4"/>
        </w:rPr>
        <w:t xml:space="preserve"> </w:t>
      </w:r>
      <w:r>
        <w:t>some</w:t>
      </w:r>
      <w:r>
        <w:rPr>
          <w:spacing w:val="-7"/>
        </w:rPr>
        <w:t xml:space="preserve"> </w:t>
      </w:r>
      <w:r>
        <w:t>circumstances</w:t>
      </w:r>
      <w:r>
        <w:rPr>
          <w:spacing w:val="-3"/>
        </w:rPr>
        <w:t xml:space="preserve"> </w:t>
      </w:r>
      <w:r>
        <w:t>in</w:t>
      </w:r>
      <w:r>
        <w:rPr>
          <w:spacing w:val="-5"/>
        </w:rPr>
        <w:t xml:space="preserve"> </w:t>
      </w:r>
      <w:r>
        <w:t>which</w:t>
      </w:r>
      <w:r>
        <w:rPr>
          <w:spacing w:val="-5"/>
        </w:rPr>
        <w:t xml:space="preserve"> </w:t>
      </w:r>
      <w:r>
        <w:t>the</w:t>
      </w:r>
      <w:r>
        <w:rPr>
          <w:spacing w:val="-4"/>
        </w:rPr>
        <w:t xml:space="preserve"> </w:t>
      </w:r>
      <w:r>
        <w:t>above</w:t>
      </w:r>
      <w:r>
        <w:rPr>
          <w:spacing w:val="-4"/>
        </w:rPr>
        <w:t xml:space="preserve"> </w:t>
      </w:r>
      <w:r>
        <w:t>process</w:t>
      </w:r>
      <w:r>
        <w:rPr>
          <w:spacing w:val="-6"/>
        </w:rPr>
        <w:t xml:space="preserve"> </w:t>
      </w:r>
      <w:r>
        <w:t>fails</w:t>
      </w:r>
      <w:r>
        <w:rPr>
          <w:spacing w:val="-6"/>
        </w:rPr>
        <w:t xml:space="preserve"> </w:t>
      </w:r>
      <w:r>
        <w:t>to</w:t>
      </w:r>
      <w:r>
        <w:rPr>
          <w:spacing w:val="-4"/>
        </w:rPr>
        <w:t xml:space="preserve"> </w:t>
      </w:r>
      <w:r>
        <w:t>bring</w:t>
      </w:r>
      <w:r>
        <w:rPr>
          <w:spacing w:val="-4"/>
        </w:rPr>
        <w:t xml:space="preserve"> </w:t>
      </w:r>
      <w:r>
        <w:t>about</w:t>
      </w:r>
      <w:r>
        <w:rPr>
          <w:spacing w:val="-5"/>
        </w:rPr>
        <w:t xml:space="preserve"> </w:t>
      </w:r>
      <w:r>
        <w:t>a</w:t>
      </w:r>
      <w:r>
        <w:rPr>
          <w:spacing w:val="-4"/>
        </w:rPr>
        <w:t xml:space="preserve"> </w:t>
      </w:r>
      <w:r>
        <w:t>resolution.</w:t>
      </w:r>
      <w:r>
        <w:rPr>
          <w:spacing w:val="-4"/>
        </w:rPr>
        <w:t xml:space="preserve"> </w:t>
      </w:r>
      <w:r>
        <w:t>In</w:t>
      </w:r>
      <w:r>
        <w:rPr>
          <w:spacing w:val="-5"/>
        </w:rPr>
        <w:t xml:space="preserve"> </w:t>
      </w:r>
      <w:r>
        <w:t>such</w:t>
      </w:r>
      <w:r>
        <w:rPr>
          <w:spacing w:val="-5"/>
        </w:rPr>
        <w:t xml:space="preserve"> </w:t>
      </w:r>
      <w:r>
        <w:t>cases the</w:t>
      </w:r>
      <w:r>
        <w:rPr>
          <w:spacing w:val="-6"/>
        </w:rPr>
        <w:t xml:space="preserve"> </w:t>
      </w:r>
      <w:r>
        <w:t>parties</w:t>
      </w:r>
      <w:r>
        <w:rPr>
          <w:spacing w:val="-5"/>
        </w:rPr>
        <w:t xml:space="preserve"> </w:t>
      </w:r>
      <w:r>
        <w:t>may</w:t>
      </w:r>
      <w:r>
        <w:rPr>
          <w:spacing w:val="-6"/>
        </w:rPr>
        <w:t xml:space="preserve"> </w:t>
      </w:r>
      <w:r>
        <w:t>wish</w:t>
      </w:r>
      <w:r>
        <w:rPr>
          <w:spacing w:val="-4"/>
        </w:rPr>
        <w:t xml:space="preserve"> </w:t>
      </w:r>
      <w:r>
        <w:t>to</w:t>
      </w:r>
      <w:r>
        <w:rPr>
          <w:spacing w:val="-5"/>
        </w:rPr>
        <w:t xml:space="preserve"> </w:t>
      </w:r>
      <w:r>
        <w:t>request</w:t>
      </w:r>
      <w:r>
        <w:rPr>
          <w:spacing w:val="-6"/>
        </w:rPr>
        <w:t xml:space="preserve"> </w:t>
      </w:r>
      <w:r>
        <w:t>a</w:t>
      </w:r>
      <w:r>
        <w:rPr>
          <w:spacing w:val="-6"/>
        </w:rPr>
        <w:t xml:space="preserve"> </w:t>
      </w:r>
      <w:r>
        <w:t>binding</w:t>
      </w:r>
      <w:r>
        <w:rPr>
          <w:spacing w:val="-6"/>
        </w:rPr>
        <w:t xml:space="preserve"> </w:t>
      </w:r>
      <w:r>
        <w:t>arbitration</w:t>
      </w:r>
      <w:r>
        <w:rPr>
          <w:spacing w:val="-6"/>
        </w:rPr>
        <w:t xml:space="preserve"> </w:t>
      </w:r>
      <w:r>
        <w:t>process,</w:t>
      </w:r>
      <w:r>
        <w:rPr>
          <w:spacing w:val="-6"/>
        </w:rPr>
        <w:t xml:space="preserve"> </w:t>
      </w:r>
      <w:r>
        <w:t>managed</w:t>
      </w:r>
      <w:r>
        <w:rPr>
          <w:spacing w:val="-6"/>
        </w:rPr>
        <w:t xml:space="preserve"> </w:t>
      </w:r>
      <w:r>
        <w:t>by</w:t>
      </w:r>
      <w:r>
        <w:rPr>
          <w:spacing w:val="-4"/>
        </w:rPr>
        <w:t xml:space="preserve"> </w:t>
      </w:r>
      <w:r>
        <w:t>the</w:t>
      </w:r>
      <w:r>
        <w:rPr>
          <w:spacing w:val="-6"/>
        </w:rPr>
        <w:t xml:space="preserve"> </w:t>
      </w:r>
      <w:r>
        <w:t>BUC.</w:t>
      </w:r>
      <w:r>
        <w:rPr>
          <w:spacing w:val="-6"/>
        </w:rPr>
        <w:t xml:space="preserve"> </w:t>
      </w:r>
      <w:r>
        <w:t>For</w:t>
      </w:r>
      <w:r>
        <w:rPr>
          <w:spacing w:val="-5"/>
        </w:rPr>
        <w:t xml:space="preserve"> </w:t>
      </w:r>
      <w:r>
        <w:t>such</w:t>
      </w:r>
      <w:r>
        <w:rPr>
          <w:spacing w:val="-6"/>
        </w:rPr>
        <w:t xml:space="preserve"> </w:t>
      </w:r>
      <w:r>
        <w:t>an</w:t>
      </w:r>
      <w:r>
        <w:rPr>
          <w:spacing w:val="-7"/>
        </w:rPr>
        <w:t xml:space="preserve"> </w:t>
      </w:r>
      <w:r>
        <w:t>approach</w:t>
      </w:r>
      <w:r>
        <w:rPr>
          <w:spacing w:val="-6"/>
        </w:rPr>
        <w:t xml:space="preserve"> </w:t>
      </w:r>
      <w:r>
        <w:t>to succeed the following conditions must be met:</w:t>
      </w:r>
    </w:p>
    <w:p w14:paraId="3988DEA0" w14:textId="77777777" w:rsidR="002D351D" w:rsidRDefault="002D351D" w:rsidP="002D351D">
      <w:pPr>
        <w:pStyle w:val="ListParagraph"/>
        <w:numPr>
          <w:ilvl w:val="1"/>
          <w:numId w:val="1"/>
        </w:numPr>
        <w:tabs>
          <w:tab w:val="left" w:pos="1969"/>
        </w:tabs>
        <w:spacing w:before="127"/>
        <w:ind w:left="1969"/>
        <w:rPr>
          <w:sz w:val="18"/>
        </w:rPr>
      </w:pPr>
      <w:r>
        <w:rPr>
          <w:sz w:val="18"/>
        </w:rPr>
        <w:t>Both</w:t>
      </w:r>
      <w:r>
        <w:rPr>
          <w:spacing w:val="-4"/>
          <w:sz w:val="18"/>
        </w:rPr>
        <w:t xml:space="preserve"> </w:t>
      </w:r>
      <w:r>
        <w:rPr>
          <w:sz w:val="18"/>
        </w:rPr>
        <w:t>parties</w:t>
      </w:r>
      <w:r>
        <w:rPr>
          <w:spacing w:val="-2"/>
          <w:sz w:val="18"/>
        </w:rPr>
        <w:t xml:space="preserve"> </w:t>
      </w:r>
      <w:r>
        <w:rPr>
          <w:sz w:val="18"/>
        </w:rPr>
        <w:t>must</w:t>
      </w:r>
      <w:r>
        <w:rPr>
          <w:spacing w:val="-2"/>
          <w:sz w:val="18"/>
        </w:rPr>
        <w:t xml:space="preserve"> </w:t>
      </w:r>
      <w:r>
        <w:rPr>
          <w:sz w:val="18"/>
        </w:rPr>
        <w:t>agree</w:t>
      </w:r>
      <w:r>
        <w:rPr>
          <w:spacing w:val="-2"/>
          <w:sz w:val="18"/>
        </w:rPr>
        <w:t xml:space="preserve"> </w:t>
      </w:r>
      <w:r>
        <w:rPr>
          <w:sz w:val="18"/>
        </w:rPr>
        <w:t>to</w:t>
      </w:r>
      <w:r>
        <w:rPr>
          <w:spacing w:val="-1"/>
          <w:sz w:val="18"/>
        </w:rPr>
        <w:t xml:space="preserve"> </w:t>
      </w:r>
      <w:r>
        <w:rPr>
          <w:sz w:val="18"/>
        </w:rPr>
        <w:t xml:space="preserve">the </w:t>
      </w:r>
      <w:r>
        <w:rPr>
          <w:spacing w:val="-2"/>
          <w:sz w:val="18"/>
        </w:rPr>
        <w:t>process</w:t>
      </w:r>
    </w:p>
    <w:p w14:paraId="52D18308" w14:textId="77777777" w:rsidR="002D351D" w:rsidRDefault="002D351D" w:rsidP="002D351D">
      <w:pPr>
        <w:pStyle w:val="ListParagraph"/>
        <w:numPr>
          <w:ilvl w:val="1"/>
          <w:numId w:val="1"/>
        </w:numPr>
        <w:tabs>
          <w:tab w:val="left" w:pos="1969"/>
        </w:tabs>
        <w:spacing w:before="120"/>
        <w:ind w:left="1969"/>
        <w:rPr>
          <w:sz w:val="18"/>
        </w:rPr>
      </w:pPr>
      <w:r>
        <w:rPr>
          <w:sz w:val="18"/>
        </w:rPr>
        <w:t>Both</w:t>
      </w:r>
      <w:r>
        <w:rPr>
          <w:spacing w:val="-6"/>
          <w:sz w:val="18"/>
        </w:rPr>
        <w:t xml:space="preserve"> </w:t>
      </w:r>
      <w:r>
        <w:rPr>
          <w:sz w:val="18"/>
        </w:rPr>
        <w:t>parties</w:t>
      </w:r>
      <w:r>
        <w:rPr>
          <w:spacing w:val="-3"/>
          <w:sz w:val="18"/>
        </w:rPr>
        <w:t xml:space="preserve"> </w:t>
      </w:r>
      <w:r>
        <w:rPr>
          <w:sz w:val="18"/>
        </w:rPr>
        <w:t>must</w:t>
      </w:r>
      <w:r>
        <w:rPr>
          <w:spacing w:val="-3"/>
          <w:sz w:val="18"/>
        </w:rPr>
        <w:t xml:space="preserve"> </w:t>
      </w:r>
      <w:r>
        <w:rPr>
          <w:sz w:val="18"/>
        </w:rPr>
        <w:t>agree</w:t>
      </w:r>
      <w:r>
        <w:rPr>
          <w:spacing w:val="-2"/>
          <w:sz w:val="18"/>
        </w:rPr>
        <w:t xml:space="preserve"> </w:t>
      </w:r>
      <w:r>
        <w:rPr>
          <w:sz w:val="18"/>
        </w:rPr>
        <w:t>to</w:t>
      </w:r>
      <w:r>
        <w:rPr>
          <w:spacing w:val="-2"/>
          <w:sz w:val="18"/>
        </w:rPr>
        <w:t xml:space="preserve"> </w:t>
      </w:r>
      <w:r>
        <w:rPr>
          <w:sz w:val="18"/>
        </w:rPr>
        <w:t>the</w:t>
      </w:r>
      <w:r>
        <w:rPr>
          <w:spacing w:val="-1"/>
          <w:sz w:val="18"/>
        </w:rPr>
        <w:t xml:space="preserve"> </w:t>
      </w:r>
      <w:r>
        <w:rPr>
          <w:sz w:val="18"/>
        </w:rPr>
        <w:t>composition</w:t>
      </w:r>
      <w:r>
        <w:rPr>
          <w:spacing w:val="-3"/>
          <w:sz w:val="18"/>
        </w:rPr>
        <w:t xml:space="preserve"> </w:t>
      </w:r>
      <w:r>
        <w:rPr>
          <w:sz w:val="18"/>
        </w:rPr>
        <w:t>of</w:t>
      </w:r>
      <w:r>
        <w:rPr>
          <w:spacing w:val="-1"/>
          <w:sz w:val="18"/>
        </w:rPr>
        <w:t xml:space="preserve"> </w:t>
      </w:r>
      <w:r>
        <w:rPr>
          <w:sz w:val="18"/>
        </w:rPr>
        <w:t>the</w:t>
      </w:r>
      <w:r>
        <w:rPr>
          <w:spacing w:val="-3"/>
          <w:sz w:val="18"/>
        </w:rPr>
        <w:t xml:space="preserve"> </w:t>
      </w:r>
      <w:r>
        <w:rPr>
          <w:sz w:val="18"/>
        </w:rPr>
        <w:t xml:space="preserve">arbitration </w:t>
      </w:r>
      <w:r>
        <w:rPr>
          <w:spacing w:val="-4"/>
          <w:sz w:val="18"/>
        </w:rPr>
        <w:t>team</w:t>
      </w:r>
    </w:p>
    <w:p w14:paraId="4A9C9AC1" w14:textId="77777777" w:rsidR="002D351D" w:rsidRDefault="002D351D" w:rsidP="002D351D">
      <w:pPr>
        <w:pStyle w:val="ListParagraph"/>
        <w:numPr>
          <w:ilvl w:val="1"/>
          <w:numId w:val="1"/>
        </w:numPr>
        <w:tabs>
          <w:tab w:val="left" w:pos="1969"/>
        </w:tabs>
        <w:spacing w:before="121"/>
        <w:ind w:left="1969"/>
        <w:rPr>
          <w:sz w:val="18"/>
        </w:rPr>
      </w:pPr>
      <w:r>
        <w:rPr>
          <w:sz w:val="18"/>
        </w:rPr>
        <w:t>Both</w:t>
      </w:r>
      <w:r>
        <w:rPr>
          <w:spacing w:val="-3"/>
          <w:sz w:val="18"/>
        </w:rPr>
        <w:t xml:space="preserve"> </w:t>
      </w:r>
      <w:r>
        <w:rPr>
          <w:sz w:val="18"/>
        </w:rPr>
        <w:t>parties</w:t>
      </w:r>
      <w:r>
        <w:rPr>
          <w:spacing w:val="-3"/>
          <w:sz w:val="18"/>
        </w:rPr>
        <w:t xml:space="preserve"> </w:t>
      </w:r>
      <w:r>
        <w:rPr>
          <w:sz w:val="18"/>
        </w:rPr>
        <w:t>must</w:t>
      </w:r>
      <w:r>
        <w:rPr>
          <w:spacing w:val="-2"/>
          <w:sz w:val="18"/>
        </w:rPr>
        <w:t xml:space="preserve"> </w:t>
      </w:r>
      <w:r>
        <w:rPr>
          <w:sz w:val="18"/>
        </w:rPr>
        <w:t>agree</w:t>
      </w:r>
      <w:r>
        <w:rPr>
          <w:spacing w:val="-2"/>
          <w:sz w:val="18"/>
        </w:rPr>
        <w:t xml:space="preserve"> </w:t>
      </w:r>
      <w:r>
        <w:rPr>
          <w:sz w:val="18"/>
        </w:rPr>
        <w:t>to</w:t>
      </w:r>
      <w:r>
        <w:rPr>
          <w:spacing w:val="-1"/>
          <w:sz w:val="18"/>
        </w:rPr>
        <w:t xml:space="preserve"> </w:t>
      </w:r>
      <w:r>
        <w:rPr>
          <w:sz w:val="18"/>
        </w:rPr>
        <w:t>withdraw</w:t>
      </w:r>
      <w:r>
        <w:rPr>
          <w:spacing w:val="-2"/>
          <w:sz w:val="18"/>
        </w:rPr>
        <w:t xml:space="preserve"> </w:t>
      </w:r>
      <w:r>
        <w:rPr>
          <w:sz w:val="18"/>
        </w:rPr>
        <w:t>or</w:t>
      </w:r>
      <w:r>
        <w:rPr>
          <w:spacing w:val="-2"/>
          <w:sz w:val="18"/>
        </w:rPr>
        <w:t xml:space="preserve"> </w:t>
      </w:r>
      <w:r>
        <w:rPr>
          <w:sz w:val="18"/>
        </w:rPr>
        <w:t>suspend</w:t>
      </w:r>
      <w:r>
        <w:rPr>
          <w:spacing w:val="-2"/>
          <w:sz w:val="18"/>
        </w:rPr>
        <w:t xml:space="preserve"> </w:t>
      </w:r>
      <w:r>
        <w:rPr>
          <w:sz w:val="18"/>
        </w:rPr>
        <w:t>any</w:t>
      </w:r>
      <w:r>
        <w:rPr>
          <w:spacing w:val="-2"/>
          <w:sz w:val="18"/>
        </w:rPr>
        <w:t xml:space="preserve"> </w:t>
      </w:r>
      <w:r>
        <w:rPr>
          <w:sz w:val="18"/>
        </w:rPr>
        <w:t>legal</w:t>
      </w:r>
      <w:r>
        <w:rPr>
          <w:spacing w:val="-2"/>
          <w:sz w:val="18"/>
        </w:rPr>
        <w:t xml:space="preserve"> </w:t>
      </w:r>
      <w:r>
        <w:rPr>
          <w:sz w:val="18"/>
        </w:rPr>
        <w:t>action</w:t>
      </w:r>
      <w:r>
        <w:rPr>
          <w:spacing w:val="-2"/>
          <w:sz w:val="18"/>
        </w:rPr>
        <w:t xml:space="preserve"> </w:t>
      </w:r>
      <w:r>
        <w:rPr>
          <w:sz w:val="18"/>
        </w:rPr>
        <w:t>during</w:t>
      </w:r>
      <w:r>
        <w:rPr>
          <w:spacing w:val="-2"/>
          <w:sz w:val="18"/>
        </w:rPr>
        <w:t xml:space="preserve"> </w:t>
      </w:r>
      <w:r>
        <w:rPr>
          <w:sz w:val="18"/>
        </w:rPr>
        <w:t>the</w:t>
      </w:r>
      <w:r>
        <w:rPr>
          <w:spacing w:val="-2"/>
          <w:sz w:val="18"/>
        </w:rPr>
        <w:t xml:space="preserve"> process</w:t>
      </w:r>
    </w:p>
    <w:p w14:paraId="74E9B793" w14:textId="77777777" w:rsidR="002D351D" w:rsidRDefault="002D351D" w:rsidP="002D351D">
      <w:pPr>
        <w:pStyle w:val="BodyText"/>
        <w:spacing w:before="116"/>
        <w:ind w:left="1465" w:right="977"/>
        <w:jc w:val="both"/>
      </w:pPr>
      <w:r>
        <w:t>The BUC reserves the right to suspend or terminate the arbitration process at any point, should it feel the need to do so.</w:t>
      </w:r>
    </w:p>
    <w:p w14:paraId="38D70A81" w14:textId="77777777" w:rsidR="00C43423" w:rsidRDefault="00C43423"/>
    <w:sectPr w:rsidR="00C434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8DDF2" w14:textId="77777777" w:rsidR="00000000" w:rsidRDefault="00000000">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D1955AC" wp14:editId="6FF872B6">
              <wp:simplePos x="0" y="0"/>
              <wp:positionH relativeFrom="page">
                <wp:posOffset>2926207</wp:posOffset>
              </wp:positionH>
              <wp:positionV relativeFrom="page">
                <wp:posOffset>9718485</wp:posOffset>
              </wp:positionV>
              <wp:extent cx="1711325" cy="37528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1325" cy="375285"/>
                      </a:xfrm>
                      <a:prstGeom prst="rect">
                        <a:avLst/>
                      </a:prstGeom>
                    </wps:spPr>
                    <wps:txbx>
                      <w:txbxContent>
                        <w:p w14:paraId="45347DF6" w14:textId="77777777" w:rsidR="00000000" w:rsidRDefault="00000000">
                          <w:pPr>
                            <w:spacing w:before="2" w:line="247" w:lineRule="auto"/>
                            <w:ind w:left="2"/>
                            <w:jc w:val="center"/>
                            <w:rPr>
                              <w:sz w:val="14"/>
                            </w:rPr>
                          </w:pPr>
                          <w:r>
                            <w:rPr>
                              <w:sz w:val="14"/>
                            </w:rPr>
                            <w:t>Seventh-day</w:t>
                          </w:r>
                          <w:r>
                            <w:rPr>
                              <w:spacing w:val="-10"/>
                              <w:sz w:val="14"/>
                            </w:rPr>
                            <w:t xml:space="preserve"> </w:t>
                          </w:r>
                          <w:r>
                            <w:rPr>
                              <w:sz w:val="14"/>
                            </w:rPr>
                            <w:t>Adventist</w:t>
                          </w:r>
                          <w:r>
                            <w:rPr>
                              <w:spacing w:val="-10"/>
                              <w:sz w:val="14"/>
                            </w:rPr>
                            <w:t xml:space="preserve"> </w:t>
                          </w:r>
                          <w:r>
                            <w:rPr>
                              <w:sz w:val="14"/>
                            </w:rPr>
                            <w:t>Safeguarding</w:t>
                          </w:r>
                          <w:r>
                            <w:rPr>
                              <w:spacing w:val="-9"/>
                              <w:sz w:val="14"/>
                            </w:rPr>
                            <w:t xml:space="preserve"> </w:t>
                          </w:r>
                          <w:r>
                            <w:rPr>
                              <w:sz w:val="14"/>
                            </w:rPr>
                            <w:t>Policy</w:t>
                          </w:r>
                          <w:r>
                            <w:rPr>
                              <w:spacing w:val="40"/>
                              <w:sz w:val="14"/>
                            </w:rPr>
                            <w:t xml:space="preserve"> </w:t>
                          </w:r>
                          <w:r>
                            <w:rPr>
                              <w:sz w:val="14"/>
                            </w:rPr>
                            <w:t>March</w:t>
                          </w:r>
                          <w:r>
                            <w:rPr>
                              <w:spacing w:val="-2"/>
                              <w:sz w:val="14"/>
                            </w:rPr>
                            <w:t xml:space="preserve"> </w:t>
                          </w:r>
                          <w:r>
                            <w:rPr>
                              <w:sz w:val="14"/>
                            </w:rPr>
                            <w:t>2024</w:t>
                          </w:r>
                        </w:p>
                        <w:p w14:paraId="09D10E14" w14:textId="77777777" w:rsidR="00000000" w:rsidRDefault="00000000">
                          <w:pPr>
                            <w:spacing w:before="20"/>
                            <w:ind w:left="2" w:right="2"/>
                            <w:jc w:val="center"/>
                            <w:rPr>
                              <w:rFonts w:ascii="Trebuchet MS"/>
                              <w:b/>
                              <w:sz w:val="14"/>
                            </w:rPr>
                          </w:pPr>
                          <w:r>
                            <w:rPr>
                              <w:rFonts w:ascii="Trebuchet MS"/>
                              <w:b/>
                              <w:spacing w:val="-5"/>
                              <w:sz w:val="14"/>
                            </w:rPr>
                            <w:fldChar w:fldCharType="begin"/>
                          </w:r>
                          <w:r>
                            <w:rPr>
                              <w:rFonts w:ascii="Trebuchet MS"/>
                              <w:b/>
                              <w:spacing w:val="-5"/>
                              <w:sz w:val="14"/>
                            </w:rPr>
                            <w:instrText xml:space="preserve"> PAGE </w:instrText>
                          </w:r>
                          <w:r>
                            <w:rPr>
                              <w:rFonts w:ascii="Trebuchet MS"/>
                              <w:b/>
                              <w:spacing w:val="-5"/>
                              <w:sz w:val="14"/>
                            </w:rPr>
                            <w:fldChar w:fldCharType="separate"/>
                          </w:r>
                          <w:r>
                            <w:rPr>
                              <w:rFonts w:ascii="Trebuchet MS"/>
                              <w:b/>
                              <w:spacing w:val="-5"/>
                              <w:sz w:val="14"/>
                            </w:rPr>
                            <w:t>90</w:t>
                          </w:r>
                          <w:r>
                            <w:rPr>
                              <w:rFonts w:ascii="Trebuchet MS"/>
                              <w:b/>
                              <w:spacing w:val="-5"/>
                              <w:sz w:val="14"/>
                            </w:rPr>
                            <w:fldChar w:fldCharType="end"/>
                          </w:r>
                        </w:p>
                      </w:txbxContent>
                    </wps:txbx>
                    <wps:bodyPr wrap="square" lIns="0" tIns="0" rIns="0" bIns="0" rtlCol="0">
                      <a:noAutofit/>
                    </wps:bodyPr>
                  </wps:wsp>
                </a:graphicData>
              </a:graphic>
            </wp:anchor>
          </w:drawing>
        </mc:Choice>
        <mc:Fallback>
          <w:pict>
            <v:shapetype w14:anchorId="1D1955AC" id="_x0000_t202" coordsize="21600,21600" o:spt="202" path="m,l,21600r21600,l21600,xe">
              <v:stroke joinstyle="miter"/>
              <v:path gradientshapeok="t" o:connecttype="rect"/>
            </v:shapetype>
            <v:shape id="Textbox 67" o:spid="_x0000_s1026" type="#_x0000_t202" style="position:absolute;margin-left:230.4pt;margin-top:765.25pt;width:134.75pt;height:29.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67TlAEAABsDAAAOAAAAZHJzL2Uyb0RvYy54bWysUsFu2zAMvQ/YPwi6L0pSZC2MOMW2YsOA&#10;YhvQ7gMUWYqNWaJGKrHz96MUJxm2W9ELTZnU43uPWt+PvhcHi9RBqOViNpfCBgNNF3a1/Pn8+d2d&#10;FJR0aHQPwdbyaEneb96+WQ+xsktooW8sCgYJVA2xlm1KsVKKTGu9phlEG7joAL1OfMSdalAPjO57&#10;tZzP36sBsIkIxhLx34dTUW4KvnPWpO/OkU2iryVzSyViidsc1Watqx3q2HZmoqFfwMLrLvDQC9SD&#10;TlrssfsPyncGgcClmQGvwLnO2KKB1Szm/6h5anW0RQubQ/FiE70erPl2eIo/UKTxI4y8wCKC4iOY&#10;X8TeqCFSNfVkT6ki7s5CR4c+f1mC4Ivs7fHipx2TMBntdrG4Wa6kMFy7uV0t71bZcHW9HZHSFwte&#10;5KSWyPsqDPThkdKp9dwykTnNz0zSuB25JadbaI4sYuA91pJ+7zVaKfqvgY3KSz8neE625wRT/wnK&#10;08haAnzYJ3BdmXzFnSbzBgr36bXkFf99Ll3XN735AwAA//8DAFBLAwQUAAYACAAAACEAwJuQp+EA&#10;AAANAQAADwAAAGRycy9kb3ducmV2LnhtbEyPwU7DMBBE70j8g7VI3KhdQkObxqkqBCck1DQcODqx&#10;m1iN1yF22/D3bE9wnJ3RzNt8M7menc0YrEcJ85kAZrDx2mIr4bN6e1gCC1GhVr1HI+HHBNgUtze5&#10;yrS/YGnO+9gyKsGQKQldjEPGeWg641SY+cEgeQc/OhVJji3Xo7pQuev5oxApd8oiLXRqMC+daY77&#10;k5Ow/cLy1X5/1LvyUNqqWgl8T49S3t9N2zWwaKb4F4YrPqFDQUy1P6EOrJfwlApCj2QsErEARpHn&#10;RCTA6utpuUqBFzn//0XxCwAA//8DAFBLAQItABQABgAIAAAAIQC2gziS/gAAAOEBAAATAAAAAAAA&#10;AAAAAAAAAAAAAABbQ29udGVudF9UeXBlc10ueG1sUEsBAi0AFAAGAAgAAAAhADj9If/WAAAAlAEA&#10;AAsAAAAAAAAAAAAAAAAALwEAAF9yZWxzLy5yZWxzUEsBAi0AFAAGAAgAAAAhAJjbrtOUAQAAGwMA&#10;AA4AAAAAAAAAAAAAAAAALgIAAGRycy9lMm9Eb2MueG1sUEsBAi0AFAAGAAgAAAAhAMCbkKfhAAAA&#10;DQEAAA8AAAAAAAAAAAAAAAAA7gMAAGRycy9kb3ducmV2LnhtbFBLBQYAAAAABAAEAPMAAAD8BAAA&#10;AAA=&#10;" filled="f" stroked="f">
              <v:textbox inset="0,0,0,0">
                <w:txbxContent>
                  <w:p w14:paraId="45347DF6" w14:textId="77777777" w:rsidR="00000000" w:rsidRDefault="00000000">
                    <w:pPr>
                      <w:spacing w:before="2" w:line="247" w:lineRule="auto"/>
                      <w:ind w:left="2"/>
                      <w:jc w:val="center"/>
                      <w:rPr>
                        <w:sz w:val="14"/>
                      </w:rPr>
                    </w:pPr>
                    <w:r>
                      <w:rPr>
                        <w:sz w:val="14"/>
                      </w:rPr>
                      <w:t>Seventh-day</w:t>
                    </w:r>
                    <w:r>
                      <w:rPr>
                        <w:spacing w:val="-10"/>
                        <w:sz w:val="14"/>
                      </w:rPr>
                      <w:t xml:space="preserve"> </w:t>
                    </w:r>
                    <w:r>
                      <w:rPr>
                        <w:sz w:val="14"/>
                      </w:rPr>
                      <w:t>Adventist</w:t>
                    </w:r>
                    <w:r>
                      <w:rPr>
                        <w:spacing w:val="-10"/>
                        <w:sz w:val="14"/>
                      </w:rPr>
                      <w:t xml:space="preserve"> </w:t>
                    </w:r>
                    <w:r>
                      <w:rPr>
                        <w:sz w:val="14"/>
                      </w:rPr>
                      <w:t>Safeguarding</w:t>
                    </w:r>
                    <w:r>
                      <w:rPr>
                        <w:spacing w:val="-9"/>
                        <w:sz w:val="14"/>
                      </w:rPr>
                      <w:t xml:space="preserve"> </w:t>
                    </w:r>
                    <w:r>
                      <w:rPr>
                        <w:sz w:val="14"/>
                      </w:rPr>
                      <w:t>Policy</w:t>
                    </w:r>
                    <w:r>
                      <w:rPr>
                        <w:spacing w:val="40"/>
                        <w:sz w:val="14"/>
                      </w:rPr>
                      <w:t xml:space="preserve"> </w:t>
                    </w:r>
                    <w:r>
                      <w:rPr>
                        <w:sz w:val="14"/>
                      </w:rPr>
                      <w:t>March</w:t>
                    </w:r>
                    <w:r>
                      <w:rPr>
                        <w:spacing w:val="-2"/>
                        <w:sz w:val="14"/>
                      </w:rPr>
                      <w:t xml:space="preserve"> </w:t>
                    </w:r>
                    <w:r>
                      <w:rPr>
                        <w:sz w:val="14"/>
                      </w:rPr>
                      <w:t>2024</w:t>
                    </w:r>
                  </w:p>
                  <w:p w14:paraId="09D10E14" w14:textId="77777777" w:rsidR="00000000" w:rsidRDefault="00000000">
                    <w:pPr>
                      <w:spacing w:before="20"/>
                      <w:ind w:left="2" w:right="2"/>
                      <w:jc w:val="center"/>
                      <w:rPr>
                        <w:rFonts w:ascii="Trebuchet MS"/>
                        <w:b/>
                        <w:sz w:val="14"/>
                      </w:rPr>
                    </w:pPr>
                    <w:r>
                      <w:rPr>
                        <w:rFonts w:ascii="Trebuchet MS"/>
                        <w:b/>
                        <w:spacing w:val="-5"/>
                        <w:sz w:val="14"/>
                      </w:rPr>
                      <w:fldChar w:fldCharType="begin"/>
                    </w:r>
                    <w:r>
                      <w:rPr>
                        <w:rFonts w:ascii="Trebuchet MS"/>
                        <w:b/>
                        <w:spacing w:val="-5"/>
                        <w:sz w:val="14"/>
                      </w:rPr>
                      <w:instrText xml:space="preserve"> PAGE </w:instrText>
                    </w:r>
                    <w:r>
                      <w:rPr>
                        <w:rFonts w:ascii="Trebuchet MS"/>
                        <w:b/>
                        <w:spacing w:val="-5"/>
                        <w:sz w:val="14"/>
                      </w:rPr>
                      <w:fldChar w:fldCharType="separate"/>
                    </w:r>
                    <w:r>
                      <w:rPr>
                        <w:rFonts w:ascii="Trebuchet MS"/>
                        <w:b/>
                        <w:spacing w:val="-5"/>
                        <w:sz w:val="14"/>
                      </w:rPr>
                      <w:t>90</w:t>
                    </w:r>
                    <w:r>
                      <w:rPr>
                        <w:rFonts w:ascii="Trebuchet MS"/>
                        <w:b/>
                        <w:spacing w:val="-5"/>
                        <w:sz w:val="14"/>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587CA3"/>
    <w:multiLevelType w:val="hybridMultilevel"/>
    <w:tmpl w:val="9B4069FC"/>
    <w:lvl w:ilvl="0" w:tplc="4CCA6C96">
      <w:start w:val="1"/>
      <w:numFmt w:val="upperLetter"/>
      <w:lvlText w:val="%1."/>
      <w:lvlJc w:val="left"/>
      <w:pPr>
        <w:ind w:left="1153" w:hanging="226"/>
        <w:jc w:val="right"/>
      </w:pPr>
      <w:rPr>
        <w:rFonts w:ascii="Trebuchet MS" w:eastAsia="Trebuchet MS" w:hAnsi="Trebuchet MS" w:cs="Trebuchet MS" w:hint="default"/>
        <w:b/>
        <w:bCs/>
        <w:i w:val="0"/>
        <w:iCs w:val="0"/>
        <w:spacing w:val="0"/>
        <w:w w:val="73"/>
        <w:sz w:val="18"/>
        <w:szCs w:val="18"/>
        <w:lang w:val="en-US" w:eastAsia="en-US" w:bidi="ar-SA"/>
      </w:rPr>
    </w:lvl>
    <w:lvl w:ilvl="1" w:tplc="53C87E00">
      <w:start w:val="1"/>
      <w:numFmt w:val="decimal"/>
      <w:lvlText w:val="%2."/>
      <w:lvlJc w:val="left"/>
      <w:pPr>
        <w:ind w:left="2079" w:hanging="504"/>
        <w:jc w:val="left"/>
      </w:pPr>
      <w:rPr>
        <w:rFonts w:ascii="Tahoma" w:eastAsia="Tahoma" w:hAnsi="Tahoma" w:cs="Tahoma" w:hint="default"/>
        <w:b w:val="0"/>
        <w:bCs w:val="0"/>
        <w:i w:val="0"/>
        <w:iCs w:val="0"/>
        <w:spacing w:val="0"/>
        <w:w w:val="100"/>
        <w:sz w:val="18"/>
        <w:szCs w:val="18"/>
        <w:lang w:val="en-US" w:eastAsia="en-US" w:bidi="ar-SA"/>
      </w:rPr>
    </w:lvl>
    <w:lvl w:ilvl="2" w:tplc="401A93A4">
      <w:numFmt w:val="bullet"/>
      <w:lvlText w:val="•"/>
      <w:lvlJc w:val="left"/>
      <w:pPr>
        <w:ind w:left="2080" w:hanging="504"/>
      </w:pPr>
      <w:rPr>
        <w:rFonts w:hint="default"/>
        <w:lang w:val="en-US" w:eastAsia="en-US" w:bidi="ar-SA"/>
      </w:rPr>
    </w:lvl>
    <w:lvl w:ilvl="3" w:tplc="89E0D61E">
      <w:numFmt w:val="bullet"/>
      <w:lvlText w:val="•"/>
      <w:lvlJc w:val="left"/>
      <w:pPr>
        <w:ind w:left="3193" w:hanging="504"/>
      </w:pPr>
      <w:rPr>
        <w:rFonts w:hint="default"/>
        <w:lang w:val="en-US" w:eastAsia="en-US" w:bidi="ar-SA"/>
      </w:rPr>
    </w:lvl>
    <w:lvl w:ilvl="4" w:tplc="B77A7370">
      <w:numFmt w:val="bullet"/>
      <w:lvlText w:val="•"/>
      <w:lvlJc w:val="left"/>
      <w:pPr>
        <w:ind w:left="4307" w:hanging="504"/>
      </w:pPr>
      <w:rPr>
        <w:rFonts w:hint="default"/>
        <w:lang w:val="en-US" w:eastAsia="en-US" w:bidi="ar-SA"/>
      </w:rPr>
    </w:lvl>
    <w:lvl w:ilvl="5" w:tplc="0A6085C8">
      <w:numFmt w:val="bullet"/>
      <w:lvlText w:val="•"/>
      <w:lvlJc w:val="left"/>
      <w:pPr>
        <w:ind w:left="5420" w:hanging="504"/>
      </w:pPr>
      <w:rPr>
        <w:rFonts w:hint="default"/>
        <w:lang w:val="en-US" w:eastAsia="en-US" w:bidi="ar-SA"/>
      </w:rPr>
    </w:lvl>
    <w:lvl w:ilvl="6" w:tplc="A9583FD8">
      <w:numFmt w:val="bullet"/>
      <w:lvlText w:val="•"/>
      <w:lvlJc w:val="left"/>
      <w:pPr>
        <w:ind w:left="6534" w:hanging="504"/>
      </w:pPr>
      <w:rPr>
        <w:rFonts w:hint="default"/>
        <w:lang w:val="en-US" w:eastAsia="en-US" w:bidi="ar-SA"/>
      </w:rPr>
    </w:lvl>
    <w:lvl w:ilvl="7" w:tplc="95521350">
      <w:numFmt w:val="bullet"/>
      <w:lvlText w:val="•"/>
      <w:lvlJc w:val="left"/>
      <w:pPr>
        <w:ind w:left="7648" w:hanging="504"/>
      </w:pPr>
      <w:rPr>
        <w:rFonts w:hint="default"/>
        <w:lang w:val="en-US" w:eastAsia="en-US" w:bidi="ar-SA"/>
      </w:rPr>
    </w:lvl>
    <w:lvl w:ilvl="8" w:tplc="6C880032">
      <w:numFmt w:val="bullet"/>
      <w:lvlText w:val="•"/>
      <w:lvlJc w:val="left"/>
      <w:pPr>
        <w:ind w:left="8761" w:hanging="504"/>
      </w:pPr>
      <w:rPr>
        <w:rFonts w:hint="default"/>
        <w:lang w:val="en-US" w:eastAsia="en-US" w:bidi="ar-SA"/>
      </w:rPr>
    </w:lvl>
  </w:abstractNum>
  <w:num w:numId="1" w16cid:durableId="922185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doNotDisplayPageBoundaries/>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43B"/>
    <w:rsid w:val="00110F8D"/>
    <w:rsid w:val="002D351D"/>
    <w:rsid w:val="007159CC"/>
    <w:rsid w:val="00BA143B"/>
    <w:rsid w:val="00BF1FC0"/>
    <w:rsid w:val="00C43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D6F476-643F-4EDB-86AD-DFAF776AD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51D"/>
    <w:pPr>
      <w:widowControl w:val="0"/>
      <w:autoSpaceDE w:val="0"/>
      <w:autoSpaceDN w:val="0"/>
      <w:spacing w:after="0" w:line="240" w:lineRule="auto"/>
    </w:pPr>
    <w:rPr>
      <w:rFonts w:ascii="Leelawadee UI" w:eastAsia="Leelawadee UI" w:hAnsi="Leelawadee UI" w:cs="Leelawadee UI"/>
      <w:kern w:val="0"/>
      <w:lang w:val="en-US"/>
      <w14:ligatures w14:val="none"/>
    </w:rPr>
  </w:style>
  <w:style w:type="paragraph" w:styleId="Heading5">
    <w:name w:val="heading 5"/>
    <w:basedOn w:val="Normal"/>
    <w:link w:val="Heading5Char"/>
    <w:uiPriority w:val="9"/>
    <w:unhideWhenUsed/>
    <w:qFormat/>
    <w:rsid w:val="002D351D"/>
    <w:pPr>
      <w:spacing w:before="86"/>
      <w:ind w:left="472"/>
      <w:outlineLvl w:val="4"/>
    </w:pPr>
    <w:rPr>
      <w:rFonts w:ascii="Trebuchet MS" w:eastAsia="Trebuchet MS" w:hAnsi="Trebuchet MS" w:cs="Trebuchet MS"/>
      <w:b/>
      <w:bCs/>
      <w:sz w:val="24"/>
      <w:szCs w:val="24"/>
    </w:rPr>
  </w:style>
  <w:style w:type="paragraph" w:styleId="Heading8">
    <w:name w:val="heading 8"/>
    <w:basedOn w:val="Normal"/>
    <w:link w:val="Heading8Char"/>
    <w:uiPriority w:val="1"/>
    <w:qFormat/>
    <w:rsid w:val="002D351D"/>
    <w:pPr>
      <w:ind w:left="472"/>
      <w:outlineLvl w:val="7"/>
    </w:pPr>
    <w:rPr>
      <w:rFonts w:ascii="Trebuchet MS" w:eastAsia="Trebuchet MS" w:hAnsi="Trebuchet MS" w:cs="Trebuchet MS"/>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D351D"/>
    <w:rPr>
      <w:rFonts w:ascii="Trebuchet MS" w:eastAsia="Trebuchet MS" w:hAnsi="Trebuchet MS" w:cs="Trebuchet MS"/>
      <w:b/>
      <w:bCs/>
      <w:kern w:val="0"/>
      <w:sz w:val="24"/>
      <w:szCs w:val="24"/>
      <w:lang w:val="en-US"/>
      <w14:ligatures w14:val="none"/>
    </w:rPr>
  </w:style>
  <w:style w:type="character" w:customStyle="1" w:styleId="Heading8Char">
    <w:name w:val="Heading 8 Char"/>
    <w:basedOn w:val="DefaultParagraphFont"/>
    <w:link w:val="Heading8"/>
    <w:uiPriority w:val="1"/>
    <w:rsid w:val="002D351D"/>
    <w:rPr>
      <w:rFonts w:ascii="Trebuchet MS" w:eastAsia="Trebuchet MS" w:hAnsi="Trebuchet MS" w:cs="Trebuchet MS"/>
      <w:b/>
      <w:bCs/>
      <w:kern w:val="0"/>
      <w:sz w:val="18"/>
      <w:szCs w:val="18"/>
      <w:lang w:val="en-US"/>
      <w14:ligatures w14:val="none"/>
    </w:rPr>
  </w:style>
  <w:style w:type="paragraph" w:styleId="BodyText">
    <w:name w:val="Body Text"/>
    <w:basedOn w:val="Normal"/>
    <w:link w:val="BodyTextChar"/>
    <w:uiPriority w:val="1"/>
    <w:qFormat/>
    <w:rsid w:val="002D351D"/>
    <w:rPr>
      <w:sz w:val="18"/>
      <w:szCs w:val="18"/>
    </w:rPr>
  </w:style>
  <w:style w:type="character" w:customStyle="1" w:styleId="BodyTextChar">
    <w:name w:val="Body Text Char"/>
    <w:basedOn w:val="DefaultParagraphFont"/>
    <w:link w:val="BodyText"/>
    <w:uiPriority w:val="1"/>
    <w:rsid w:val="002D351D"/>
    <w:rPr>
      <w:rFonts w:ascii="Leelawadee UI" w:eastAsia="Leelawadee UI" w:hAnsi="Leelawadee UI" w:cs="Leelawadee UI"/>
      <w:kern w:val="0"/>
      <w:sz w:val="18"/>
      <w:szCs w:val="18"/>
      <w:lang w:val="en-US"/>
      <w14:ligatures w14:val="none"/>
    </w:rPr>
  </w:style>
  <w:style w:type="paragraph" w:styleId="ListParagraph">
    <w:name w:val="List Paragraph"/>
    <w:basedOn w:val="Normal"/>
    <w:uiPriority w:val="1"/>
    <w:qFormat/>
    <w:rsid w:val="002D351D"/>
    <w:pPr>
      <w:ind w:left="1193"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2929</Characters>
  <Application>Microsoft Office Word</Application>
  <DocSecurity>0</DocSecurity>
  <Lines>52</Lines>
  <Paragraphs>24</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Francis</dc:creator>
  <cp:keywords/>
  <dc:description/>
  <cp:lastModifiedBy>John Francis</cp:lastModifiedBy>
  <cp:revision>2</cp:revision>
  <dcterms:created xsi:type="dcterms:W3CDTF">2024-04-21T10:15:00Z</dcterms:created>
  <dcterms:modified xsi:type="dcterms:W3CDTF">2024-04-21T10:15:00Z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83d1d334012672e4390bbb6a1307656361a11ff53c634a68f5535fa5141fba22</vt:lpwstr>
  </property>
</Properties>
</file>